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spacing w:line="520" w:lineRule="exact"/>
        <w:rPr>
          <w:rFonts w:hint="eastAsia" w:ascii="黑体" w:hAnsi="黑体" w:eastAsia="黑体" w:cs="仿宋"/>
          <w:kern w:val="0"/>
          <w:sz w:val="32"/>
          <w:szCs w:val="32"/>
          <w:lang w:val="zh-CN"/>
        </w:rPr>
      </w:pPr>
      <w:r>
        <w:rPr>
          <w:rFonts w:hint="eastAsia" w:ascii="黑体" w:hAnsi="黑体" w:eastAsia="黑体" w:cs="仿宋"/>
          <w:kern w:val="0"/>
          <w:sz w:val="32"/>
          <w:szCs w:val="32"/>
          <w:lang w:val="zh-CN"/>
        </w:rPr>
        <w:t xml:space="preserve">附件4 </w:t>
      </w:r>
    </w:p>
    <w:p>
      <w:pPr>
        <w:widowControl w:val="0"/>
        <w:spacing w:line="240" w:lineRule="exact"/>
        <w:rPr>
          <w:rFonts w:hint="eastAsia" w:ascii="黑体" w:hAnsi="黑体" w:eastAsia="黑体" w:cs="仿宋"/>
          <w:kern w:val="0"/>
          <w:sz w:val="32"/>
          <w:szCs w:val="32"/>
          <w:lang w:val="zh-CN"/>
        </w:rPr>
      </w:pPr>
    </w:p>
    <w:p>
      <w:pPr>
        <w:widowControl w:val="0"/>
        <w:spacing w:line="560" w:lineRule="exact"/>
        <w:jc w:val="center"/>
        <w:rPr>
          <w:rFonts w:hint="eastAsia" w:ascii="方正小标宋简体" w:hAnsi="华文中宋" w:eastAsia="方正小标宋简体"/>
          <w:sz w:val="44"/>
          <w:szCs w:val="36"/>
        </w:rPr>
      </w:pPr>
      <w:r>
        <w:rPr>
          <w:rFonts w:hint="eastAsia" w:ascii="方正小标宋简体" w:hAnsi="华文中宋" w:eastAsia="方正小标宋简体"/>
          <w:sz w:val="44"/>
          <w:szCs w:val="36"/>
        </w:rPr>
        <w:t>报纸、通讯社新闻专栏代表作基本情况</w:t>
      </w:r>
    </w:p>
    <w:p>
      <w:pPr>
        <w:widowControl w:val="0"/>
        <w:autoSpaceDE w:val="0"/>
        <w:autoSpaceDN w:val="0"/>
        <w:adjustRightInd w:val="0"/>
        <w:spacing w:line="200" w:lineRule="exact"/>
        <w:jc w:val="both"/>
        <w:rPr>
          <w:rFonts w:ascii="仿宋_GB2312" w:hAnsi="仿宋" w:eastAsia="仿宋_GB2312" w:cs="华文中宋"/>
          <w:sz w:val="24"/>
          <w:szCs w:val="24"/>
        </w:rPr>
      </w:pPr>
    </w:p>
    <w:tbl>
      <w:tblPr>
        <w:tblStyle w:val="16"/>
        <w:tblW w:w="9330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4"/>
        <w:gridCol w:w="1067"/>
        <w:gridCol w:w="178"/>
        <w:gridCol w:w="453"/>
        <w:gridCol w:w="1159"/>
        <w:gridCol w:w="992"/>
        <w:gridCol w:w="576"/>
        <w:gridCol w:w="1409"/>
        <w:gridCol w:w="344"/>
        <w:gridCol w:w="648"/>
        <w:gridCol w:w="150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atLeast"/>
          <w:jc w:val="center"/>
        </w:trPr>
        <w:tc>
          <w:tcPr>
            <w:tcW w:w="2071" w:type="dxa"/>
            <w:gridSpan w:val="2"/>
            <w:vAlign w:val="center"/>
          </w:tcPr>
          <w:p>
            <w:pPr>
              <w:pStyle w:val="38"/>
              <w:autoSpaceDE/>
              <w:autoSpaceDN/>
              <w:spacing w:line="320" w:lineRule="exact"/>
              <w:jc w:val="center"/>
              <w:rPr>
                <w:rFonts w:ascii="华文中宋" w:eastAsia="华文中宋"/>
                <w:sz w:val="28"/>
                <w:lang w:val="en-US"/>
              </w:rPr>
            </w:pPr>
            <w:r>
              <w:rPr>
                <w:rFonts w:hint="eastAsia" w:ascii="华文中宋" w:eastAsia="华文中宋"/>
                <w:sz w:val="28"/>
                <w:lang w:val="en-US"/>
              </w:rPr>
              <w:t>专栏名称</w:t>
            </w:r>
          </w:p>
        </w:tc>
        <w:tc>
          <w:tcPr>
            <w:tcW w:w="7259" w:type="dxa"/>
            <w:gridSpan w:val="9"/>
          </w:tcPr>
          <w:p>
            <w:pPr>
              <w:pStyle w:val="38"/>
              <w:spacing w:line="520" w:lineRule="exact"/>
              <w:ind w:firstLine="420" w:firstLineChars="200"/>
              <w:rPr>
                <w:rFonts w:hint="eastAsia" w:ascii="Times New Roman" w:eastAsia="仿宋"/>
                <w:sz w:val="30"/>
                <w:lang w:eastAsia="zh-CN"/>
              </w:rPr>
            </w:pPr>
            <w:r>
              <w:rPr>
                <w:rFonts w:hint="eastAsia" w:ascii="仿宋"/>
                <w:sz w:val="21"/>
                <w:szCs w:val="21"/>
                <w:lang w:val="en-US" w:eastAsia="zh-CN"/>
              </w:rPr>
              <w:t xml:space="preserve">中国与世界圆桌论坛  </w:t>
            </w:r>
            <w:r>
              <w:rPr>
                <w:rFonts w:hint="eastAsia" w:ascii="Times New Roman"/>
                <w:sz w:val="30"/>
                <w:lang w:val="en-US" w:eastAsia="zh-CN"/>
              </w:rPr>
              <w:t xml:space="preserve">    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atLeast"/>
          <w:jc w:val="center"/>
        </w:trPr>
        <w:tc>
          <w:tcPr>
            <w:tcW w:w="2071" w:type="dxa"/>
            <w:gridSpan w:val="2"/>
            <w:vAlign w:val="center"/>
          </w:tcPr>
          <w:p>
            <w:pPr>
              <w:pStyle w:val="38"/>
              <w:autoSpaceDE/>
              <w:autoSpaceDN/>
              <w:spacing w:line="320" w:lineRule="exact"/>
              <w:jc w:val="center"/>
              <w:rPr>
                <w:rFonts w:hint="eastAsia" w:ascii="华文中宋" w:eastAsia="华文中宋"/>
                <w:sz w:val="28"/>
              </w:rPr>
            </w:pPr>
            <w:r>
              <w:rPr>
                <w:rFonts w:hint="eastAsia" w:ascii="华文中宋" w:eastAsia="华文中宋"/>
                <w:sz w:val="28"/>
                <w:lang w:val="en-US"/>
              </w:rPr>
              <w:t>代表作</w:t>
            </w:r>
            <w:r>
              <w:rPr>
                <w:rFonts w:hint="eastAsia" w:ascii="华文中宋" w:eastAsia="华文中宋"/>
                <w:sz w:val="28"/>
              </w:rPr>
              <w:t>标题</w:t>
            </w:r>
          </w:p>
        </w:tc>
        <w:tc>
          <w:tcPr>
            <w:tcW w:w="7259" w:type="dxa"/>
            <w:gridSpan w:val="9"/>
          </w:tcPr>
          <w:p>
            <w:pPr>
              <w:pStyle w:val="38"/>
              <w:spacing w:line="240" w:lineRule="auto"/>
              <w:ind w:firstLine="0" w:firstLineChars="0"/>
              <w:rPr>
                <w:rFonts w:hint="eastAsia" w:ascii="仿宋"/>
                <w:sz w:val="21"/>
                <w:szCs w:val="21"/>
              </w:rPr>
            </w:pPr>
          </w:p>
          <w:p>
            <w:pPr>
              <w:pStyle w:val="38"/>
              <w:spacing w:line="240" w:lineRule="auto"/>
              <w:ind w:firstLine="210" w:firstLineChars="100"/>
              <w:rPr>
                <w:rFonts w:hint="eastAsia" w:ascii="仿宋"/>
                <w:sz w:val="21"/>
                <w:szCs w:val="21"/>
              </w:rPr>
            </w:pPr>
            <w:r>
              <w:rPr>
                <w:rFonts w:hint="eastAsia" w:ascii="仿宋"/>
                <w:sz w:val="21"/>
                <w:szCs w:val="21"/>
              </w:rPr>
              <w:t>For an innovative France-China partnership</w:t>
            </w:r>
          </w:p>
          <w:p>
            <w:pPr>
              <w:pStyle w:val="38"/>
              <w:spacing w:line="240" w:lineRule="auto"/>
              <w:ind w:firstLine="210" w:firstLineChars="100"/>
              <w:rPr>
                <w:rFonts w:hint="eastAsia" w:ascii="Times New Roman"/>
                <w:sz w:val="30"/>
              </w:rPr>
            </w:pPr>
            <w:r>
              <w:rPr>
                <w:rFonts w:hint="eastAsia" w:ascii="仿宋"/>
                <w:sz w:val="21"/>
                <w:szCs w:val="21"/>
              </w:rPr>
              <w:t>为创新合作伙伴关系开辟新篇章：法中共绘未来蓝图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" w:hRule="atLeast"/>
          <w:jc w:val="center"/>
        </w:trPr>
        <w:tc>
          <w:tcPr>
            <w:tcW w:w="2071" w:type="dxa"/>
            <w:gridSpan w:val="2"/>
            <w:vAlign w:val="center"/>
          </w:tcPr>
          <w:p>
            <w:pPr>
              <w:pStyle w:val="38"/>
              <w:autoSpaceDE/>
              <w:autoSpaceDN/>
              <w:spacing w:line="320" w:lineRule="exact"/>
              <w:jc w:val="center"/>
              <w:rPr>
                <w:rFonts w:ascii="华文中宋" w:eastAsia="华文中宋"/>
                <w:sz w:val="28"/>
              </w:rPr>
            </w:pPr>
            <w:r>
              <w:rPr>
                <w:rFonts w:hint="eastAsia" w:ascii="华文中宋" w:eastAsia="华文中宋"/>
                <w:sz w:val="28"/>
              </w:rPr>
              <w:t>发表日期</w:t>
            </w:r>
          </w:p>
        </w:tc>
        <w:tc>
          <w:tcPr>
            <w:tcW w:w="3358" w:type="dxa"/>
            <w:gridSpan w:val="5"/>
          </w:tcPr>
          <w:p>
            <w:pPr>
              <w:pStyle w:val="38"/>
              <w:tabs>
                <w:tab w:val="left" w:pos="1410"/>
                <w:tab w:val="left" w:pos="2250"/>
              </w:tabs>
              <w:autoSpaceDE/>
              <w:autoSpaceDN/>
              <w:spacing w:line="520" w:lineRule="exact"/>
              <w:ind w:left="11"/>
              <w:jc w:val="center"/>
              <w:rPr>
                <w:sz w:val="28"/>
              </w:rPr>
            </w:pPr>
            <w:r>
              <w:rPr>
                <w:rFonts w:hint="eastAsia"/>
                <w:sz w:val="21"/>
                <w:szCs w:val="21"/>
              </w:rPr>
              <w:t>2024年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/>
                <w:sz w:val="21"/>
                <w:szCs w:val="21"/>
              </w:rPr>
              <w:t>月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26</w:t>
            </w:r>
            <w:r>
              <w:rPr>
                <w:rFonts w:hint="eastAsia"/>
                <w:sz w:val="21"/>
                <w:szCs w:val="21"/>
              </w:rPr>
              <w:t>日</w:t>
            </w:r>
          </w:p>
        </w:tc>
        <w:tc>
          <w:tcPr>
            <w:tcW w:w="1753" w:type="dxa"/>
            <w:gridSpan w:val="2"/>
          </w:tcPr>
          <w:p>
            <w:pPr>
              <w:pStyle w:val="38"/>
              <w:tabs>
                <w:tab w:val="left" w:pos="1410"/>
                <w:tab w:val="left" w:pos="2250"/>
              </w:tabs>
              <w:autoSpaceDE/>
              <w:autoSpaceDN/>
              <w:spacing w:line="320" w:lineRule="exact"/>
              <w:jc w:val="center"/>
              <w:rPr>
                <w:rFonts w:hint="eastAsia" w:ascii="华文中宋" w:eastAsia="华文中宋"/>
                <w:sz w:val="28"/>
                <w:lang w:val="en-US"/>
              </w:rPr>
            </w:pPr>
            <w:r>
              <w:rPr>
                <w:rFonts w:hint="eastAsia" w:ascii="华文中宋" w:eastAsia="华文中宋"/>
                <w:sz w:val="28"/>
                <w:lang w:val="en-US"/>
              </w:rPr>
              <w:t>是否为</w:t>
            </w:r>
          </w:p>
          <w:p>
            <w:pPr>
              <w:pStyle w:val="38"/>
              <w:tabs>
                <w:tab w:val="left" w:pos="1410"/>
                <w:tab w:val="left" w:pos="2250"/>
              </w:tabs>
              <w:autoSpaceDE/>
              <w:autoSpaceDN/>
              <w:spacing w:line="320" w:lineRule="exact"/>
              <w:jc w:val="center"/>
              <w:rPr>
                <w:sz w:val="28"/>
                <w:lang w:val="en-US"/>
              </w:rPr>
            </w:pPr>
            <w:r>
              <w:rPr>
                <w:rFonts w:hint="eastAsia" w:ascii="华文中宋" w:eastAsia="华文中宋"/>
                <w:sz w:val="28"/>
                <w:lang w:val="en-US"/>
              </w:rPr>
              <w:t>“三好作品”</w:t>
            </w:r>
          </w:p>
        </w:tc>
        <w:tc>
          <w:tcPr>
            <w:tcW w:w="2148" w:type="dxa"/>
            <w:gridSpan w:val="2"/>
          </w:tcPr>
          <w:p>
            <w:pPr>
              <w:pStyle w:val="38"/>
              <w:tabs>
                <w:tab w:val="left" w:pos="1410"/>
                <w:tab w:val="left" w:pos="2250"/>
              </w:tabs>
              <w:autoSpaceDE/>
              <w:autoSpaceDN/>
              <w:spacing w:line="520" w:lineRule="exact"/>
              <w:ind w:left="11"/>
              <w:jc w:val="center"/>
              <w:rPr>
                <w:rFonts w:hint="eastAsia" w:eastAsia="仿宋"/>
                <w:sz w:val="28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30" w:hRule="atLeast"/>
          <w:jc w:val="center"/>
        </w:trPr>
        <w:tc>
          <w:tcPr>
            <w:tcW w:w="100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</w:t>
            </w:r>
          </w:p>
          <w:p>
            <w:pPr>
              <w:spacing w:line="4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品</w:t>
            </w:r>
          </w:p>
          <w:p>
            <w:pPr>
              <w:spacing w:line="4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评</w:t>
            </w:r>
          </w:p>
          <w:p>
            <w:pPr>
              <w:spacing w:line="4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介</w:t>
            </w:r>
          </w:p>
        </w:tc>
        <w:tc>
          <w:tcPr>
            <w:tcW w:w="8326" w:type="dxa"/>
            <w:gridSpan w:val="10"/>
          </w:tcPr>
          <w:p>
            <w:pPr>
              <w:pStyle w:val="3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firstLine="420" w:firstLineChars="200"/>
              <w:textAlignment w:val="auto"/>
              <w:rPr>
                <w:rFonts w:hint="eastAsia" w:cs="仿宋"/>
                <w:sz w:val="21"/>
                <w:szCs w:val="21"/>
                <w:lang w:val="en-US" w:eastAsia="zh-CN"/>
              </w:rPr>
            </w:pPr>
          </w:p>
          <w:p>
            <w:pPr>
              <w:pStyle w:val="3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firstLine="420" w:firstLineChars="200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cs="仿宋"/>
                <w:sz w:val="21"/>
                <w:szCs w:val="21"/>
                <w:lang w:val="en-US" w:eastAsia="zh-CN"/>
              </w:rPr>
              <w:t>该文旨在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纪念中法建交60周年，紧扣国际格局的深刻变化，深入剖析了中法关系的历史积淀与未来潜力。文章以平实却富有力量的语言，梳理了两国在经贸、科技、文化、环保等领域的合作成果，并着眼于数字外交、绿色发展、科技创新等新方向，为中法关系注入前瞻性思考。</w:t>
            </w:r>
          </w:p>
          <w:p>
            <w:pPr>
              <w:pStyle w:val="3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firstLine="420" w:firstLineChars="200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文章强调中法作为联合国安理会常任理事国，应共同维护多边主义，推动全球治理变革，展现出中法协同在国际事务中的独特作用。</w:t>
            </w:r>
            <w:r>
              <w:rPr>
                <w:rFonts w:hint="eastAsia" w:cs="仿宋"/>
                <w:sz w:val="21"/>
                <w:szCs w:val="21"/>
                <w:lang w:val="en-US" w:eastAsia="zh-CN"/>
              </w:rPr>
              <w:t>该文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既</w:t>
            </w:r>
            <w:r>
              <w:rPr>
                <w:rFonts w:hint="eastAsia" w:cs="仿宋"/>
                <w:sz w:val="21"/>
                <w:szCs w:val="21"/>
                <w:lang w:val="en-US" w:eastAsia="zh-CN"/>
              </w:rPr>
              <w:t>注重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事实支撑，又有战略建言，表达方式契合中外受众的阅读习惯，具备良好的国际传播效能。</w:t>
            </w:r>
          </w:p>
          <w:p>
            <w:pPr>
              <w:pStyle w:val="3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firstLine="420" w:firstLineChars="200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作为建交纪念的重要</w:t>
            </w:r>
            <w:r>
              <w:rPr>
                <w:rFonts w:hint="eastAsia" w:cs="仿宋"/>
                <w:sz w:val="21"/>
                <w:szCs w:val="21"/>
                <w:lang w:val="en-US" w:eastAsia="zh-CN"/>
              </w:rPr>
              <w:t>言论产品之一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，文章不仅是对中法关系成果的回顾，更是推动双边关系行稳致远的积极倡议，具有鲜明的时代价值与现实意义。</w:t>
            </w:r>
          </w:p>
          <w:p>
            <w:pPr>
              <w:pStyle w:val="3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6" w:hRule="atLeast"/>
          <w:jc w:val="center"/>
        </w:trPr>
        <w:tc>
          <w:tcPr>
            <w:tcW w:w="100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采</w:t>
            </w:r>
          </w:p>
          <w:p>
            <w:pPr>
              <w:spacing w:line="4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</w:t>
            </w:r>
          </w:p>
          <w:p>
            <w:pPr>
              <w:spacing w:line="4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过</w:t>
            </w:r>
          </w:p>
          <w:p>
            <w:pPr>
              <w:spacing w:line="4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程</w:t>
            </w:r>
          </w:p>
        </w:tc>
        <w:tc>
          <w:tcPr>
            <w:tcW w:w="8326" w:type="dxa"/>
            <w:gridSpan w:val="10"/>
          </w:tcPr>
          <w:p>
            <w:pPr>
              <w:pStyle w:val="3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firstLine="420" w:firstLineChars="200"/>
              <w:textAlignment w:val="auto"/>
              <w:rPr>
                <w:rFonts w:hint="eastAsia" w:ascii="仿宋" w:hAnsi="仿宋" w:eastAsia="仿宋" w:cs="仿宋"/>
                <w:i w:val="0"/>
                <w:iCs w:val="0"/>
                <w:caps w:val="0"/>
                <w:spacing w:val="0"/>
                <w:sz w:val="21"/>
                <w:szCs w:val="21"/>
                <w:lang w:val="zh-CN" w:bidi="zh-CN"/>
              </w:rPr>
            </w:pPr>
          </w:p>
          <w:p>
            <w:pPr>
              <w:pStyle w:val="3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firstLine="420" w:firstLineChars="200"/>
              <w:textAlignment w:val="auto"/>
              <w:rPr>
                <w:rFonts w:hint="eastAsia" w:ascii="仿宋" w:hAnsi="仿宋" w:eastAsia="仿宋" w:cs="仿宋"/>
                <w:i w:val="0"/>
                <w:iCs w:val="0"/>
                <w:caps w:val="0"/>
                <w:spacing w:val="0"/>
                <w:sz w:val="21"/>
                <w:szCs w:val="21"/>
                <w:lang w:val="zh-CN" w:bidi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spacing w:val="0"/>
                <w:sz w:val="21"/>
                <w:szCs w:val="21"/>
                <w:lang w:val="zh-CN" w:bidi="zh-CN"/>
              </w:rPr>
              <w:t>为纪念2024年1月27日中法建交60周年这一历史性时刻，编辑团队精心策划，特邀法国著名学者、中欧美全球倡议发起人高大伟（David Gosset）先生撰写权威评论。高大伟以其深厚的学术积淀与广阔的多边外交视野,为文章注入了独特的战略洞察。</w:t>
            </w:r>
          </w:p>
          <w:p>
            <w:pPr>
              <w:pStyle w:val="3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firstLine="420" w:firstLineChars="200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spacing w:val="0"/>
                <w:sz w:val="21"/>
                <w:szCs w:val="21"/>
                <w:lang w:val="zh-CN" w:bidi="zh-CN"/>
              </w:rPr>
              <w:t>编辑团队自2023年12月与作者保持密切协作，从选题立意、框架构建到行文表达均进行多轮精细化打磨，确保文章兼具思想深度与国际传播价值。全文立足历史纵深，系统梳理中法在经贸、科技、人文、安全及全球治理等领域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i w:val="0"/>
                <w:iCs w:val="0"/>
                <w:caps w:val="0"/>
                <w:spacing w:val="0"/>
                <w:sz w:val="21"/>
                <w:szCs w:val="21"/>
                <w:lang w:val="zh-CN" w:bidi="zh-CN"/>
              </w:rPr>
              <w:t>的合作成果，并前瞻性探讨两国关系的未来路径。文章以严谨的学术支撑、宏阔的战略视野，生动诠释了中法战略伙伴关系的时代意义，为建交纪念活动贡献了兼具学理性与传播力的思想成果。</w:t>
            </w:r>
          </w:p>
          <w:p>
            <w:pPr>
              <w:pStyle w:val="3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rPr>
                <w:rFonts w:ascii="Times New Roman"/>
                <w:sz w:val="3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3" w:hRule="atLeast"/>
          <w:jc w:val="center"/>
        </w:trPr>
        <w:tc>
          <w:tcPr>
            <w:tcW w:w="100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社</w:t>
            </w:r>
          </w:p>
          <w:p>
            <w:pPr>
              <w:spacing w:line="4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会</w:t>
            </w:r>
          </w:p>
          <w:p>
            <w:pPr>
              <w:spacing w:line="4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效</w:t>
            </w:r>
          </w:p>
          <w:p>
            <w:pPr>
              <w:spacing w:line="4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果</w:t>
            </w:r>
          </w:p>
        </w:tc>
        <w:tc>
          <w:tcPr>
            <w:tcW w:w="8326" w:type="dxa"/>
            <w:gridSpan w:val="10"/>
          </w:tcPr>
          <w:p>
            <w:pPr>
              <w:pStyle w:val="3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  <w:p>
            <w:pPr>
              <w:pStyle w:val="3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firstLine="420" w:firstLineChars="200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文章于2024年1月26日上网，</w:t>
            </w:r>
            <w:r>
              <w:rPr>
                <w:rFonts w:hint="eastAsia" w:cs="仿宋"/>
                <w:sz w:val="21"/>
                <w:szCs w:val="21"/>
                <w:lang w:val="en-US" w:eastAsia="zh-CN"/>
              </w:rPr>
              <w:t>并于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1月27日中法建交60周年当天在</w:t>
            </w:r>
            <w:r>
              <w:rPr>
                <w:rFonts w:hint="eastAsia" w:cs="仿宋"/>
                <w:sz w:val="21"/>
                <w:szCs w:val="21"/>
                <w:lang w:val="en-US" w:eastAsia="zh-CN"/>
              </w:rPr>
              <w:t>大报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《中国与世界圆桌论坛》栏目刊发。一经发布即受到广泛关注，被外电转引超过100频次，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外媒引用</w:t>
            </w:r>
            <w:r>
              <w:rPr>
                <w:rFonts w:hint="eastAsia" w:cs="仿宋"/>
                <w:sz w:val="21"/>
                <w:szCs w:val="21"/>
                <w:lang w:val="en-US" w:eastAsia="zh-CN"/>
              </w:rPr>
              <w:t>该文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称，中法科技合作一直是两国关系的基石</w:t>
            </w:r>
            <w:r>
              <w:rPr>
                <w:rFonts w:hint="eastAsia" w:cs="仿宋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从航空航天、核工业到可再生能源，两国在联合研发方面取得了重大进展。</w:t>
            </w:r>
            <w:r>
              <w:rPr>
                <w:rFonts w:hint="eastAsia" w:cs="仿宋"/>
                <w:sz w:val="21"/>
                <w:szCs w:val="21"/>
                <w:lang w:val="en-US" w:eastAsia="zh-CN"/>
              </w:rPr>
              <w:t>该文传播效果良好，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为进一步夯实中法关系民意基础、推动双边关系紧密发展提供了有力舆论支撑。</w:t>
            </w:r>
          </w:p>
          <w:p>
            <w:pPr>
              <w:pStyle w:val="3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firstLine="600" w:firstLineChars="200"/>
              <w:textAlignment w:val="auto"/>
              <w:rPr>
                <w:rFonts w:hint="eastAsia" w:ascii="Times New Roman" w:eastAsia="仿宋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exact"/>
          <w:jc w:val="center"/>
        </w:trPr>
        <w:tc>
          <w:tcPr>
            <w:tcW w:w="1004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传</w:t>
            </w:r>
          </w:p>
          <w:p>
            <w:pPr>
              <w:spacing w:line="4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播</w:t>
            </w:r>
          </w:p>
          <w:p>
            <w:pPr>
              <w:spacing w:line="4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数</w:t>
            </w:r>
          </w:p>
          <w:p>
            <w:pPr>
              <w:spacing w:line="4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据</w:t>
            </w:r>
          </w:p>
        </w:tc>
        <w:tc>
          <w:tcPr>
            <w:tcW w:w="1245" w:type="dxa"/>
            <w:gridSpan w:val="2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spacing w:val="-1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pacing w:val="-10"/>
                <w:sz w:val="24"/>
                <w:szCs w:val="18"/>
              </w:rPr>
              <w:t>新媒体传播</w:t>
            </w:r>
          </w:p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平台网址</w:t>
            </w:r>
          </w:p>
        </w:tc>
        <w:tc>
          <w:tcPr>
            <w:tcW w:w="453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1</w:t>
            </w:r>
          </w:p>
        </w:tc>
        <w:tc>
          <w:tcPr>
            <w:tcW w:w="6628" w:type="dxa"/>
            <w:gridSpan w:val="7"/>
            <w:vAlign w:val="center"/>
          </w:tcPr>
          <w:p>
            <w:pPr>
              <w:spacing w:line="320" w:lineRule="exac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https://www.chinadaily.com.cn/a/202401/26/WS65b31114a3105f21a507e7c2.html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1004" w:type="dxa"/>
            <w:vMerge w:val="continue"/>
            <w:vAlign w:val="center"/>
          </w:tcPr>
          <w:p>
            <w:pPr>
              <w:spacing w:line="5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245" w:type="dxa"/>
            <w:gridSpan w:val="2"/>
            <w:vMerge w:val="continue"/>
            <w:vAlign w:val="center"/>
          </w:tcPr>
          <w:p>
            <w:pPr>
              <w:spacing w:line="320" w:lineRule="exact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</w:tc>
        <w:tc>
          <w:tcPr>
            <w:tcW w:w="453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2</w:t>
            </w:r>
          </w:p>
        </w:tc>
        <w:tc>
          <w:tcPr>
            <w:tcW w:w="6628" w:type="dxa"/>
            <w:gridSpan w:val="7"/>
            <w:vAlign w:val="center"/>
          </w:tcPr>
          <w:p>
            <w:pPr>
              <w:spacing w:line="320" w:lineRule="exact"/>
              <w:rPr>
                <w:rFonts w:hint="eastAsia" w:ascii="仿宋" w:hAnsi="仿宋" w:eastAsia="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exact"/>
          <w:jc w:val="center"/>
        </w:trPr>
        <w:tc>
          <w:tcPr>
            <w:tcW w:w="1004" w:type="dxa"/>
            <w:vMerge w:val="continue"/>
            <w:vAlign w:val="center"/>
          </w:tcPr>
          <w:p>
            <w:pPr>
              <w:spacing w:line="5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245" w:type="dxa"/>
            <w:gridSpan w:val="2"/>
            <w:vMerge w:val="continue"/>
            <w:vAlign w:val="center"/>
          </w:tcPr>
          <w:p>
            <w:pPr>
              <w:spacing w:line="320" w:lineRule="exact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</w:tc>
        <w:tc>
          <w:tcPr>
            <w:tcW w:w="453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3</w:t>
            </w:r>
          </w:p>
        </w:tc>
        <w:tc>
          <w:tcPr>
            <w:tcW w:w="6628" w:type="dxa"/>
            <w:gridSpan w:val="7"/>
            <w:vAlign w:val="center"/>
          </w:tcPr>
          <w:p>
            <w:pPr>
              <w:spacing w:line="320" w:lineRule="exact"/>
              <w:rPr>
                <w:rFonts w:hint="eastAsia" w:ascii="仿宋" w:hAnsi="仿宋" w:eastAsia="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7" w:hRule="exact"/>
          <w:jc w:val="center"/>
        </w:trPr>
        <w:tc>
          <w:tcPr>
            <w:tcW w:w="1004" w:type="dxa"/>
            <w:vMerge w:val="continue"/>
            <w:vAlign w:val="center"/>
          </w:tcPr>
          <w:p>
            <w:pPr>
              <w:spacing w:line="5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245" w:type="dxa"/>
            <w:gridSpan w:val="2"/>
            <w:vAlign w:val="center"/>
          </w:tcPr>
          <w:p>
            <w:pPr>
              <w:spacing w:line="320" w:lineRule="exact"/>
              <w:rPr>
                <w:rFonts w:hint="eastAsia" w:ascii="仿宋" w:hAnsi="仿宋" w:eastAsia="仿宋"/>
                <w:color w:val="000000"/>
                <w:sz w:val="22"/>
                <w:szCs w:val="16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阅读量（浏览量、点击量）</w:t>
            </w:r>
          </w:p>
        </w:tc>
        <w:tc>
          <w:tcPr>
            <w:tcW w:w="1612" w:type="dxa"/>
            <w:gridSpan w:val="2"/>
            <w:vAlign w:val="center"/>
          </w:tcPr>
          <w:p>
            <w:pPr>
              <w:spacing w:line="320" w:lineRule="exact"/>
              <w:rPr>
                <w:rFonts w:hint="default" w:ascii="仿宋" w:hAnsi="仿宋" w:eastAsia="仿宋"/>
                <w:color w:val="000000"/>
                <w:sz w:val="22"/>
                <w:szCs w:val="16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16"/>
                <w:lang w:val="en-US" w:eastAsia="zh-CN"/>
              </w:rPr>
              <w:t>全网超55万次</w:t>
            </w:r>
          </w:p>
        </w:tc>
        <w:tc>
          <w:tcPr>
            <w:tcW w:w="992" w:type="dxa"/>
            <w:vAlign w:val="center"/>
          </w:tcPr>
          <w:p>
            <w:pPr>
              <w:spacing w:line="320" w:lineRule="exact"/>
              <w:rPr>
                <w:rFonts w:hint="eastAsia" w:ascii="仿宋" w:hAnsi="仿宋" w:eastAsia="仿宋"/>
                <w:color w:val="000000"/>
                <w:sz w:val="22"/>
                <w:szCs w:val="16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16"/>
              </w:rPr>
              <w:t>转载量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spacing w:line="320" w:lineRule="exact"/>
              <w:rPr>
                <w:rFonts w:hint="default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外电转引超100次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spacing w:line="320" w:lineRule="exac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16"/>
              </w:rPr>
              <w:t>互动量</w:t>
            </w:r>
          </w:p>
        </w:tc>
        <w:tc>
          <w:tcPr>
            <w:tcW w:w="1500" w:type="dxa"/>
            <w:vAlign w:val="center"/>
          </w:tcPr>
          <w:p>
            <w:pPr>
              <w:spacing w:line="320" w:lineRule="exact"/>
              <w:rPr>
                <w:rFonts w:hint="default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客户端互动超130次</w:t>
            </w:r>
          </w:p>
        </w:tc>
      </w:tr>
    </w:tbl>
    <w:p>
      <w:pPr>
        <w:widowControl w:val="0"/>
        <w:rPr>
          <w:rFonts w:hint="eastAsia" w:ascii="楷体" w:hAnsi="楷体" w:eastAsia="楷体"/>
          <w:sz w:val="28"/>
        </w:rPr>
      </w:pPr>
      <w:r>
        <w:rPr>
          <w:rFonts w:hint="eastAsia" w:ascii="楷体" w:hAnsi="楷体" w:eastAsia="楷体"/>
          <w:sz w:val="28"/>
        </w:rPr>
        <w:t>此表可从中国记协网www.zgjx.cn下载，上、下半年代表作前各附1张。</w:t>
      </w:r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trackRevisions w:val="1"/>
  <w:documentProtection w:enforcement="0"/>
  <w:defaultTabStop w:val="4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560"/>
    <w:rsid w:val="001C7051"/>
    <w:rsid w:val="002609EB"/>
    <w:rsid w:val="00630450"/>
    <w:rsid w:val="00833D59"/>
    <w:rsid w:val="00986CA0"/>
    <w:rsid w:val="009B4286"/>
    <w:rsid w:val="009B6F8C"/>
    <w:rsid w:val="00AE70A1"/>
    <w:rsid w:val="00C85560"/>
    <w:rsid w:val="00E26CB3"/>
    <w:rsid w:val="022A7A6A"/>
    <w:rsid w:val="03D721B0"/>
    <w:rsid w:val="073F7929"/>
    <w:rsid w:val="07730DB6"/>
    <w:rsid w:val="08D04975"/>
    <w:rsid w:val="0E1C2936"/>
    <w:rsid w:val="0E85680F"/>
    <w:rsid w:val="0F581039"/>
    <w:rsid w:val="12AD17FB"/>
    <w:rsid w:val="163215FE"/>
    <w:rsid w:val="186A35D0"/>
    <w:rsid w:val="1D7856C2"/>
    <w:rsid w:val="205E55D7"/>
    <w:rsid w:val="206C5FAC"/>
    <w:rsid w:val="28A668AE"/>
    <w:rsid w:val="2CCB3F71"/>
    <w:rsid w:val="2D5018E2"/>
    <w:rsid w:val="2FF83D82"/>
    <w:rsid w:val="32684974"/>
    <w:rsid w:val="33AC2DE0"/>
    <w:rsid w:val="39052747"/>
    <w:rsid w:val="3923325A"/>
    <w:rsid w:val="3A27134F"/>
    <w:rsid w:val="3C7A00B0"/>
    <w:rsid w:val="3CC74ACF"/>
    <w:rsid w:val="3D3D7A12"/>
    <w:rsid w:val="3F1C7550"/>
    <w:rsid w:val="40AD562A"/>
    <w:rsid w:val="42557B30"/>
    <w:rsid w:val="42F41778"/>
    <w:rsid w:val="458A6917"/>
    <w:rsid w:val="4A011E46"/>
    <w:rsid w:val="4B2F4E75"/>
    <w:rsid w:val="4EFB364A"/>
    <w:rsid w:val="54A56347"/>
    <w:rsid w:val="5BAD7EC7"/>
    <w:rsid w:val="5C941F5D"/>
    <w:rsid w:val="63181A9A"/>
    <w:rsid w:val="63AB1A91"/>
    <w:rsid w:val="63F56A0D"/>
    <w:rsid w:val="664B2A0C"/>
    <w:rsid w:val="67242135"/>
    <w:rsid w:val="6BD16BCB"/>
    <w:rsid w:val="6C216CC4"/>
    <w:rsid w:val="6CEA5C76"/>
    <w:rsid w:val="6DE45187"/>
    <w:rsid w:val="729060C4"/>
    <w:rsid w:val="7B4E09DE"/>
    <w:rsid w:val="7B6F748B"/>
    <w:rsid w:val="7C272A86"/>
    <w:rsid w:val="7C924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  <w:szCs w:val="24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7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2">
    <w:name w:val="head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8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5">
    <w:name w:val="Title"/>
    <w:basedOn w:val="1"/>
    <w:next w:val="1"/>
    <w:link w:val="27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8">
    <w:name w:val="标题 1 字符"/>
    <w:basedOn w:val="17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9">
    <w:name w:val="标题 2 字符"/>
    <w:basedOn w:val="17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20">
    <w:name w:val="标题 3 字符"/>
    <w:basedOn w:val="17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1">
    <w:name w:val="标题 4 字符"/>
    <w:basedOn w:val="17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2">
    <w:name w:val="标题 5 字符"/>
    <w:basedOn w:val="17"/>
    <w:link w:val="6"/>
    <w:semiHidden/>
    <w:qFormat/>
    <w:uiPriority w:val="9"/>
    <w:rPr>
      <w:rFonts w:cstheme="majorBidi"/>
      <w:color w:val="2F5597" w:themeColor="accent1" w:themeShade="BF"/>
      <w:sz w:val="24"/>
      <w:szCs w:val="24"/>
    </w:rPr>
  </w:style>
  <w:style w:type="character" w:customStyle="1" w:styleId="23">
    <w:name w:val="标题 6 字符"/>
    <w:basedOn w:val="17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4">
    <w:name w:val="标题 7 字符"/>
    <w:basedOn w:val="17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8 字符"/>
    <w:basedOn w:val="17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9 字符"/>
    <w:basedOn w:val="17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字符"/>
    <w:basedOn w:val="17"/>
    <w:link w:val="15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副标题 字符"/>
    <w:basedOn w:val="17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9">
    <w:name w:val="Quote"/>
    <w:basedOn w:val="1"/>
    <w:next w:val="1"/>
    <w:link w:val="30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0">
    <w:name w:val="引用 字符"/>
    <w:basedOn w:val="17"/>
    <w:link w:val="29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1">
    <w:name w:val="List Paragraph"/>
    <w:basedOn w:val="1"/>
    <w:qFormat/>
    <w:uiPriority w:val="34"/>
    <w:pPr>
      <w:ind w:left="720"/>
      <w:contextualSpacing/>
    </w:pPr>
  </w:style>
  <w:style w:type="character" w:customStyle="1" w:styleId="32">
    <w:name w:val="Intense Emphasis"/>
    <w:basedOn w:val="17"/>
    <w:qFormat/>
    <w:uiPriority w:val="21"/>
    <w:rPr>
      <w:i/>
      <w:iCs/>
      <w:color w:val="2F5597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4">
    <w:name w:val="明显引用 字符"/>
    <w:basedOn w:val="17"/>
    <w:link w:val="33"/>
    <w:qFormat/>
    <w:uiPriority w:val="30"/>
    <w:rPr>
      <w:i/>
      <w:iCs/>
      <w:color w:val="2F5597" w:themeColor="accent1" w:themeShade="BF"/>
    </w:rPr>
  </w:style>
  <w:style w:type="character" w:customStyle="1" w:styleId="35">
    <w:name w:val="Intense Reference"/>
    <w:basedOn w:val="17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6">
    <w:name w:val="页眉 字符"/>
    <w:basedOn w:val="17"/>
    <w:link w:val="12"/>
    <w:qFormat/>
    <w:uiPriority w:val="99"/>
    <w:rPr>
      <w:sz w:val="18"/>
      <w:szCs w:val="18"/>
    </w:rPr>
  </w:style>
  <w:style w:type="character" w:customStyle="1" w:styleId="37">
    <w:name w:val="页脚 字符"/>
    <w:basedOn w:val="17"/>
    <w:link w:val="11"/>
    <w:qFormat/>
    <w:uiPriority w:val="99"/>
    <w:rPr>
      <w:sz w:val="18"/>
      <w:szCs w:val="18"/>
    </w:rPr>
  </w:style>
  <w:style w:type="paragraph" w:customStyle="1" w:styleId="38">
    <w:name w:val="Table Paragraph"/>
    <w:basedOn w:val="1"/>
    <w:qFormat/>
    <w:uiPriority w:val="1"/>
    <w:pPr>
      <w:widowControl w:val="0"/>
      <w:autoSpaceDE w:val="0"/>
      <w:autoSpaceDN w:val="0"/>
    </w:pPr>
    <w:rPr>
      <w:rFonts w:ascii="仿宋" w:hAnsi="仿宋" w:eastAsia="仿宋" w:cs="仿宋"/>
      <w:kern w:val="0"/>
      <w:sz w:val="2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114</Words>
  <Characters>120</Characters>
  <Lines>24</Lines>
  <Paragraphs>21</Paragraphs>
  <TotalTime>6</TotalTime>
  <ScaleCrop>false</ScaleCrop>
  <LinksUpToDate>false</LinksUpToDate>
  <CharactersWithSpaces>213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2025-04-13T11:26:00Z</dcterms:created>
  <dc:creator>rukawajudy@126.com</dc:creator>
  <cp:lastModifiedBy> </cp:lastModifiedBy>
  <dcterms:modified xsi:type="dcterms:W3CDTF">2025-04-17T05:34:57Z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DC5118E24E90401A828EC3B32F0D9A45</vt:lpwstr>
  </property>
</Properties>
</file>